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DEE" w:rsidRDefault="00654DEE" w:rsidP="00654DEE">
      <w:pPr>
        <w:pStyle w:val="NormalWeb"/>
        <w:shd w:val="clear" w:color="auto" w:fill="FFFFFF"/>
        <w:jc w:val="right"/>
        <w:rPr>
          <w:rFonts w:ascii="Arial" w:hAnsi="Arial" w:cs="Arial"/>
          <w:color w:val="000000"/>
        </w:rPr>
      </w:pPr>
      <w:r>
        <w:rPr>
          <w:rFonts w:ascii="Arial" w:hAnsi="Arial" w:cs="Arial"/>
          <w:color w:val="000000"/>
        </w:rPr>
        <w:t>Buenos Aires, 10 de octubre de 2013.-</w:t>
      </w:r>
    </w:p>
    <w:p w:rsidR="00654DEE" w:rsidRDefault="00654DEE" w:rsidP="00654DEE">
      <w:pPr>
        <w:pStyle w:val="NormalWeb"/>
        <w:jc w:val="center"/>
        <w:rPr>
          <w:rFonts w:ascii="Arial" w:hAnsi="Arial" w:cs="Arial"/>
          <w:color w:val="000000"/>
          <w:shd w:val="clear" w:color="auto" w:fill="FFFFFF"/>
        </w:rPr>
      </w:pPr>
      <w:r>
        <w:rPr>
          <w:rFonts w:ascii="Arial" w:hAnsi="Arial" w:cs="Arial"/>
          <w:color w:val="000000"/>
          <w:shd w:val="clear" w:color="auto" w:fill="FFFFFF"/>
        </w:rPr>
        <w:t>La Legislatura de la Ciudad Autónoma de Buenos Aires</w:t>
      </w:r>
    </w:p>
    <w:p w:rsidR="00654DEE" w:rsidRDefault="00654DEE" w:rsidP="00654DEE">
      <w:pPr>
        <w:pStyle w:val="NormalWeb"/>
        <w:jc w:val="center"/>
        <w:rPr>
          <w:rFonts w:ascii="Arial" w:hAnsi="Arial" w:cs="Arial"/>
          <w:color w:val="000000"/>
          <w:shd w:val="clear" w:color="auto" w:fill="FFFFFF"/>
        </w:rPr>
      </w:pPr>
      <w:proofErr w:type="gramStart"/>
      <w:r>
        <w:rPr>
          <w:rFonts w:ascii="Arial" w:hAnsi="Arial" w:cs="Arial"/>
          <w:color w:val="000000"/>
          <w:shd w:val="clear" w:color="auto" w:fill="FFFFFF"/>
        </w:rPr>
        <w:t>sanciona</w:t>
      </w:r>
      <w:proofErr w:type="gramEnd"/>
      <w:r>
        <w:rPr>
          <w:rFonts w:ascii="Arial" w:hAnsi="Arial" w:cs="Arial"/>
          <w:color w:val="000000"/>
          <w:shd w:val="clear" w:color="auto" w:fill="FFFFFF"/>
        </w:rPr>
        <w:t xml:space="preserve"> con fuerza de Ley</w:t>
      </w:r>
    </w:p>
    <w:p w:rsidR="00654DEE" w:rsidRDefault="00654DEE" w:rsidP="00654DEE">
      <w:pPr>
        <w:pStyle w:val="NormalWeb"/>
        <w:shd w:val="clear" w:color="auto" w:fill="FFFFFF"/>
        <w:rPr>
          <w:rFonts w:ascii="Arial" w:hAnsi="Arial" w:cs="Arial"/>
          <w:color w:val="000000"/>
        </w:rPr>
      </w:pPr>
      <w:r>
        <w:rPr>
          <w:rFonts w:ascii="Arial" w:hAnsi="Arial" w:cs="Arial"/>
          <w:color w:val="000000"/>
        </w:rPr>
        <w:t> </w:t>
      </w:r>
    </w:p>
    <w:p w:rsidR="00654DEE" w:rsidRDefault="00654DEE" w:rsidP="00654DEE">
      <w:pPr>
        <w:pStyle w:val="NormalWeb"/>
        <w:shd w:val="clear" w:color="auto" w:fill="FFFFFF"/>
        <w:rPr>
          <w:rFonts w:ascii="Arial" w:hAnsi="Arial" w:cs="Arial"/>
          <w:color w:val="000000"/>
        </w:rPr>
      </w:pPr>
      <w:r>
        <w:rPr>
          <w:rStyle w:val="Textoennegrita"/>
          <w:rFonts w:ascii="Arial" w:hAnsi="Arial" w:cs="Arial"/>
          <w:color w:val="000000"/>
        </w:rPr>
        <w:t>Artículo 1º.-</w:t>
      </w:r>
      <w:r>
        <w:rPr>
          <w:rStyle w:val="apple-converted-space"/>
          <w:rFonts w:ascii="Arial" w:hAnsi="Arial" w:cs="Arial"/>
          <w:color w:val="000000"/>
        </w:rPr>
        <w:t> </w:t>
      </w:r>
      <w:r>
        <w:rPr>
          <w:rFonts w:ascii="Arial" w:hAnsi="Arial" w:cs="Arial"/>
          <w:color w:val="000000"/>
        </w:rPr>
        <w:t>Modificase los incisos a) b) c) y d) del artículo 26° de la Ordenanza N° 40.997 (B.M. N° 17.720), que quedarán redactados de la siguiente manera:</w:t>
      </w:r>
    </w:p>
    <w:p w:rsidR="00654DEE" w:rsidRDefault="00654DEE" w:rsidP="00654DEE">
      <w:pPr>
        <w:pStyle w:val="NormalWeb"/>
        <w:shd w:val="clear" w:color="auto" w:fill="FFFFFF"/>
        <w:rPr>
          <w:rFonts w:ascii="Arial" w:hAnsi="Arial" w:cs="Arial"/>
          <w:color w:val="000000"/>
        </w:rPr>
      </w:pPr>
      <w:r>
        <w:rPr>
          <w:rFonts w:ascii="Arial" w:hAnsi="Arial" w:cs="Arial"/>
          <w:color w:val="000000"/>
        </w:rPr>
        <w:t>a) El residente es un agente contratado. El contrato será por el total del tiempo estipulado para cada residencia, pudiendo rescindirse el mismo en caso de no promoción o por aplicación de lo dispuesto en los artículos 7° y 24 al 41 de la Ordenanza N° 40.401 (B.M. N° 17.489). (Conforme texto artículo 1° de la Ordenanza N° 42.954, B.M. N° 18.384);</w:t>
      </w:r>
      <w:r>
        <w:rPr>
          <w:rFonts w:ascii="Arial" w:hAnsi="Arial" w:cs="Arial"/>
          <w:color w:val="000000"/>
        </w:rPr>
        <w:br/>
        <w:t>b) La característica del trabajo será de tiempo completo con dedicación exclusiva para residentes y Jefes de residentes y de tiempo completo para Instructores de residentes.</w:t>
      </w:r>
      <w:r>
        <w:rPr>
          <w:rFonts w:ascii="Arial" w:hAnsi="Arial" w:cs="Arial"/>
          <w:color w:val="000000"/>
        </w:rPr>
        <w:br/>
        <w:t>b.1- Los residentes, Jefes de residentes e Instructores de residentes podrán ejercer la docencia e investigación universitaria, siempre y cuando la misma se realice fuera del horario de residencia con una carga horaria no mayor a 12 horas semanales. Esto no implicará el descuento del plus por dedicación exclusiva;</w:t>
      </w:r>
      <w:r>
        <w:rPr>
          <w:rFonts w:ascii="Arial" w:hAnsi="Arial" w:cs="Arial"/>
          <w:color w:val="000000"/>
        </w:rPr>
        <w:br/>
        <w:t xml:space="preserve">c) El horario consta de nueve (9) horas diarias a ser cumplidas de 8 a 17 </w:t>
      </w:r>
      <w:proofErr w:type="spellStart"/>
      <w:r>
        <w:rPr>
          <w:rFonts w:ascii="Arial" w:hAnsi="Arial" w:cs="Arial"/>
          <w:color w:val="000000"/>
        </w:rPr>
        <w:t>hs</w:t>
      </w:r>
      <w:proofErr w:type="spellEnd"/>
      <w:r>
        <w:rPr>
          <w:rFonts w:ascii="Arial" w:hAnsi="Arial" w:cs="Arial"/>
          <w:color w:val="000000"/>
        </w:rPr>
        <w:t xml:space="preserve">. durante cuatro días hábiles d) Los residentes realizarán como máximo por semana veintiocho (28) horas de guardia supervisada, durante todos los años de la residencia según se estipule en su programa oficial, pudiendo realizar guardias de veinticuatro (24) horas corridas que comenzaran a los 8 </w:t>
      </w:r>
      <w:proofErr w:type="spellStart"/>
      <w:r>
        <w:rPr>
          <w:rFonts w:ascii="Arial" w:hAnsi="Arial" w:cs="Arial"/>
          <w:color w:val="000000"/>
        </w:rPr>
        <w:t>hs</w:t>
      </w:r>
      <w:proofErr w:type="spellEnd"/>
      <w:r>
        <w:rPr>
          <w:rFonts w:ascii="Arial" w:hAnsi="Arial" w:cs="Arial"/>
          <w:color w:val="000000"/>
        </w:rPr>
        <w:t xml:space="preserve">. de ese </w:t>
      </w:r>
      <w:proofErr w:type="spellStart"/>
      <w:r>
        <w:rPr>
          <w:rFonts w:ascii="Arial" w:hAnsi="Arial" w:cs="Arial"/>
          <w:color w:val="000000"/>
        </w:rPr>
        <w:t>dia</w:t>
      </w:r>
      <w:proofErr w:type="spellEnd"/>
      <w:r>
        <w:rPr>
          <w:rFonts w:ascii="Arial" w:hAnsi="Arial" w:cs="Arial"/>
          <w:color w:val="000000"/>
        </w:rPr>
        <w:t xml:space="preserve">; las mismas podrán desdoblarse en turnos determinados (diurnos o nocturnos) de doce (12) horas que comenzaran a las 8 </w:t>
      </w:r>
      <w:proofErr w:type="spellStart"/>
      <w:r>
        <w:rPr>
          <w:rFonts w:ascii="Arial" w:hAnsi="Arial" w:cs="Arial"/>
          <w:color w:val="000000"/>
        </w:rPr>
        <w:t>hs</w:t>
      </w:r>
      <w:proofErr w:type="spellEnd"/>
      <w:r>
        <w:rPr>
          <w:rFonts w:ascii="Arial" w:hAnsi="Arial" w:cs="Arial"/>
          <w:color w:val="000000"/>
        </w:rPr>
        <w:t xml:space="preserve">. o a las 20 </w:t>
      </w:r>
      <w:proofErr w:type="spellStart"/>
      <w:r>
        <w:rPr>
          <w:rFonts w:ascii="Arial" w:hAnsi="Arial" w:cs="Arial"/>
          <w:color w:val="000000"/>
        </w:rPr>
        <w:t>hs</w:t>
      </w:r>
      <w:proofErr w:type="spellEnd"/>
      <w:r>
        <w:rPr>
          <w:rFonts w:ascii="Arial" w:hAnsi="Arial" w:cs="Arial"/>
          <w:color w:val="000000"/>
        </w:rPr>
        <w:t>. según corresponda. Las cuatro (4) horas restantes corresponderán a la realización de guardias rotativas. En caso de realizar veinticuatro (24) horas de guardia debe cumplirse el descanso post guardia de doce (12) horas. La cantidad de horas semanales requeridas por el sistema de residencias médicas incluyendo las guardias no podrá superar las 64 (sesenta y cuatro) horas semanales.</w:t>
      </w:r>
    </w:p>
    <w:p w:rsidR="00654DEE" w:rsidRDefault="00654DEE" w:rsidP="00654DEE">
      <w:pPr>
        <w:pStyle w:val="NormalWeb"/>
        <w:shd w:val="clear" w:color="auto" w:fill="FFFFFF"/>
        <w:rPr>
          <w:rFonts w:ascii="Arial" w:hAnsi="Arial" w:cs="Arial"/>
          <w:color w:val="000000"/>
        </w:rPr>
      </w:pPr>
      <w:r>
        <w:rPr>
          <w:rStyle w:val="Textoennegrita"/>
          <w:rFonts w:ascii="Arial" w:hAnsi="Arial" w:cs="Arial"/>
          <w:color w:val="000000"/>
        </w:rPr>
        <w:t>Artículo 2°.-</w:t>
      </w:r>
      <w:r>
        <w:rPr>
          <w:rStyle w:val="apple-converted-space"/>
          <w:rFonts w:ascii="Arial" w:hAnsi="Arial" w:cs="Arial"/>
          <w:color w:val="000000"/>
        </w:rPr>
        <w:t> </w:t>
      </w:r>
      <w:r>
        <w:rPr>
          <w:rFonts w:ascii="Arial" w:hAnsi="Arial" w:cs="Arial"/>
          <w:color w:val="000000"/>
        </w:rPr>
        <w:t>Derogase el art. 3° de la Ley 601.</w:t>
      </w:r>
    </w:p>
    <w:p w:rsidR="00654DEE" w:rsidRDefault="00654DEE" w:rsidP="00654DEE">
      <w:pPr>
        <w:pStyle w:val="NormalWeb"/>
        <w:shd w:val="clear" w:color="auto" w:fill="FFFFFF"/>
        <w:rPr>
          <w:rFonts w:ascii="Arial" w:hAnsi="Arial" w:cs="Arial"/>
          <w:color w:val="000000"/>
        </w:rPr>
      </w:pPr>
      <w:r>
        <w:rPr>
          <w:rStyle w:val="Textoennegrita"/>
          <w:rFonts w:ascii="Arial" w:hAnsi="Arial" w:cs="Arial"/>
          <w:color w:val="000000"/>
        </w:rPr>
        <w:t>Artículo 3°.-</w:t>
      </w:r>
      <w:r>
        <w:rPr>
          <w:rStyle w:val="apple-converted-space"/>
          <w:rFonts w:ascii="Arial" w:hAnsi="Arial" w:cs="Arial"/>
          <w:color w:val="000000"/>
        </w:rPr>
        <w:t> </w:t>
      </w:r>
      <w:r>
        <w:rPr>
          <w:rFonts w:ascii="Arial" w:hAnsi="Arial" w:cs="Arial"/>
          <w:color w:val="000000"/>
        </w:rPr>
        <w:t>Derogase el art. 2° de la Ley 2445</w:t>
      </w:r>
    </w:p>
    <w:p w:rsidR="00654DEE" w:rsidRDefault="00654DEE" w:rsidP="00654DEE">
      <w:pPr>
        <w:pStyle w:val="NormalWeb"/>
        <w:shd w:val="clear" w:color="auto" w:fill="FFFFFF"/>
        <w:rPr>
          <w:rFonts w:ascii="Arial" w:hAnsi="Arial" w:cs="Arial"/>
          <w:color w:val="000000"/>
        </w:rPr>
      </w:pPr>
      <w:r>
        <w:rPr>
          <w:rStyle w:val="Textoennegrita"/>
          <w:rFonts w:ascii="Arial" w:hAnsi="Arial" w:cs="Arial"/>
          <w:color w:val="000000"/>
        </w:rPr>
        <w:t>Artículo 4°.-</w:t>
      </w:r>
      <w:r>
        <w:rPr>
          <w:rStyle w:val="apple-converted-space"/>
          <w:rFonts w:ascii="Arial" w:hAnsi="Arial" w:cs="Arial"/>
          <w:color w:val="000000"/>
        </w:rPr>
        <w:t> </w:t>
      </w:r>
      <w:r>
        <w:rPr>
          <w:rFonts w:ascii="Arial" w:hAnsi="Arial" w:cs="Arial"/>
          <w:color w:val="000000"/>
        </w:rPr>
        <w:t>Comuníquese, etc.</w:t>
      </w:r>
    </w:p>
    <w:p w:rsidR="00654DEE" w:rsidRDefault="00654DEE" w:rsidP="00654DEE">
      <w:pPr>
        <w:pStyle w:val="NormalWeb"/>
        <w:shd w:val="clear" w:color="auto" w:fill="FFFFFF"/>
        <w:jc w:val="right"/>
        <w:rPr>
          <w:rFonts w:ascii="Arial" w:hAnsi="Arial" w:cs="Arial"/>
          <w:color w:val="000000"/>
        </w:rPr>
      </w:pPr>
      <w:r>
        <w:rPr>
          <w:rFonts w:ascii="Arial" w:hAnsi="Arial" w:cs="Arial"/>
          <w:color w:val="000000"/>
        </w:rPr>
        <w:t>CRISTIAN RITONDO</w:t>
      </w:r>
    </w:p>
    <w:p w:rsidR="00654DEE" w:rsidRDefault="00654DEE" w:rsidP="00654DEE">
      <w:pPr>
        <w:pStyle w:val="NormalWeb"/>
        <w:shd w:val="clear" w:color="auto" w:fill="FFFFFF"/>
        <w:jc w:val="right"/>
        <w:rPr>
          <w:rFonts w:ascii="Arial" w:hAnsi="Arial" w:cs="Arial"/>
          <w:color w:val="000000"/>
        </w:rPr>
      </w:pPr>
      <w:r>
        <w:rPr>
          <w:rFonts w:ascii="Arial" w:hAnsi="Arial" w:cs="Arial"/>
          <w:color w:val="000000"/>
        </w:rPr>
        <w:t>FRANCISCO SCHAER</w:t>
      </w:r>
    </w:p>
    <w:p w:rsidR="00654DEE" w:rsidRDefault="00654DEE" w:rsidP="00654DEE">
      <w:pPr>
        <w:pStyle w:val="NormalWeb"/>
        <w:shd w:val="clear" w:color="auto" w:fill="FFFFFF"/>
        <w:rPr>
          <w:rFonts w:ascii="Arial" w:hAnsi="Arial" w:cs="Arial"/>
          <w:color w:val="000000"/>
        </w:rPr>
      </w:pPr>
      <w:r>
        <w:rPr>
          <w:rStyle w:val="Textoennegrita"/>
          <w:rFonts w:ascii="Arial" w:hAnsi="Arial" w:cs="Arial"/>
          <w:color w:val="000000"/>
        </w:rPr>
        <w:lastRenderedPageBreak/>
        <w:t>LEY N° 4.702</w:t>
      </w:r>
    </w:p>
    <w:p w:rsidR="00654DEE" w:rsidRDefault="00654DEE" w:rsidP="00654DEE">
      <w:pPr>
        <w:pStyle w:val="NormalWeb"/>
        <w:shd w:val="clear" w:color="auto" w:fill="FFFFFF"/>
        <w:rPr>
          <w:rFonts w:ascii="Arial" w:hAnsi="Arial" w:cs="Arial"/>
          <w:color w:val="000000"/>
        </w:rPr>
      </w:pPr>
      <w:r>
        <w:rPr>
          <w:rFonts w:ascii="Arial" w:hAnsi="Arial" w:cs="Arial"/>
          <w:color w:val="000000"/>
        </w:rPr>
        <w:t>Sanción: 10/10/2013</w:t>
      </w:r>
    </w:p>
    <w:p w:rsidR="00654DEE" w:rsidRDefault="00654DEE" w:rsidP="00654DEE">
      <w:pPr>
        <w:pStyle w:val="NormalWeb"/>
        <w:shd w:val="clear" w:color="auto" w:fill="FFFFFF"/>
        <w:rPr>
          <w:rFonts w:ascii="Arial" w:hAnsi="Arial" w:cs="Arial"/>
          <w:color w:val="000000"/>
        </w:rPr>
      </w:pPr>
      <w:r>
        <w:rPr>
          <w:rFonts w:ascii="Arial" w:hAnsi="Arial" w:cs="Arial"/>
          <w:color w:val="000000"/>
        </w:rPr>
        <w:t>Promulgación: De Hecho del 15/11/2013</w:t>
      </w:r>
    </w:p>
    <w:p w:rsidR="00654DEE" w:rsidRDefault="00654DEE" w:rsidP="00654DEE">
      <w:pPr>
        <w:pStyle w:val="NormalWeb"/>
        <w:shd w:val="clear" w:color="auto" w:fill="FFFFFF"/>
        <w:rPr>
          <w:rFonts w:ascii="Arial" w:hAnsi="Arial" w:cs="Arial"/>
          <w:color w:val="000000"/>
        </w:rPr>
      </w:pPr>
      <w:r>
        <w:rPr>
          <w:rFonts w:ascii="Arial" w:hAnsi="Arial" w:cs="Arial"/>
          <w:color w:val="000000"/>
        </w:rPr>
        <w:t>Publicación: BOCBA N° 4284 del 21/11/2013</w:t>
      </w:r>
    </w:p>
    <w:p w:rsidR="00030396" w:rsidRDefault="00030396">
      <w:bookmarkStart w:id="0" w:name="_GoBack"/>
      <w:bookmarkEnd w:id="0"/>
    </w:p>
    <w:sectPr w:rsidR="000303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DEE"/>
    <w:rsid w:val="00030396"/>
    <w:rsid w:val="00654DE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4DE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54DEE"/>
    <w:rPr>
      <w:b/>
      <w:bCs/>
    </w:rPr>
  </w:style>
  <w:style w:type="character" w:customStyle="1" w:styleId="apple-converted-space">
    <w:name w:val="apple-converted-space"/>
    <w:basedOn w:val="Fuentedeprrafopredeter"/>
    <w:rsid w:val="00654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54DE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54DEE"/>
    <w:rPr>
      <w:b/>
      <w:bCs/>
    </w:rPr>
  </w:style>
  <w:style w:type="character" w:customStyle="1" w:styleId="apple-converted-space">
    <w:name w:val="apple-converted-space"/>
    <w:basedOn w:val="Fuentedeprrafopredeter"/>
    <w:rsid w:val="00654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051965">
      <w:bodyDiv w:val="1"/>
      <w:marLeft w:val="0"/>
      <w:marRight w:val="0"/>
      <w:marTop w:val="0"/>
      <w:marBottom w:val="0"/>
      <w:divBdr>
        <w:top w:val="none" w:sz="0" w:space="0" w:color="auto"/>
        <w:left w:val="none" w:sz="0" w:space="0" w:color="auto"/>
        <w:bottom w:val="none" w:sz="0" w:space="0" w:color="auto"/>
        <w:right w:val="none" w:sz="0" w:space="0" w:color="auto"/>
      </w:divBdr>
      <w:divsChild>
        <w:div w:id="1651253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354</Words>
  <Characters>1951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imedba1</dc:creator>
  <cp:lastModifiedBy>imedba1</cp:lastModifiedBy>
  <cp:revision>1</cp:revision>
  <dcterms:created xsi:type="dcterms:W3CDTF">2014-01-14T23:04:00Z</dcterms:created>
  <dcterms:modified xsi:type="dcterms:W3CDTF">2014-01-14T23:27:00Z</dcterms:modified>
</cp:coreProperties>
</file>